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E05B" w14:textId="77777777" w:rsidR="00353086" w:rsidRPr="00F75F82" w:rsidRDefault="00353086" w:rsidP="00F75F82">
      <w:pPr>
        <w:spacing w:after="0"/>
        <w:rPr>
          <w:sz w:val="26"/>
          <w:szCs w:val="26"/>
        </w:rPr>
      </w:pPr>
    </w:p>
    <w:p w14:paraId="2E01C945" w14:textId="77777777" w:rsidR="00F75F82" w:rsidRPr="00DB4297" w:rsidRDefault="00F75F82" w:rsidP="00F75F82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DB4297">
        <w:rPr>
          <w:rFonts w:ascii="Montserrat" w:hAnsi="Montserrat"/>
          <w:b/>
          <w:sz w:val="20"/>
          <w:szCs w:val="20"/>
        </w:rPr>
        <w:t xml:space="preserve">MECANISMOS DE MONITOREO Y REVISIÓN </w:t>
      </w:r>
    </w:p>
    <w:p w14:paraId="1593171D" w14:textId="77777777" w:rsidR="00F75F82" w:rsidRPr="00DB4297" w:rsidRDefault="00F75F82" w:rsidP="00F75F82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DB4297">
        <w:rPr>
          <w:rFonts w:ascii="Montserrat" w:hAnsi="Montserrat"/>
          <w:b/>
          <w:sz w:val="20"/>
          <w:szCs w:val="20"/>
        </w:rPr>
        <w:t>DE LAS MEDIDAS DE SEGURIDAD</w:t>
      </w:r>
    </w:p>
    <w:p w14:paraId="46EA6C1B" w14:textId="77777777" w:rsidR="00F75F82" w:rsidRPr="00DB4297" w:rsidRDefault="00F75F82" w:rsidP="00F75F82">
      <w:pPr>
        <w:jc w:val="center"/>
        <w:rPr>
          <w:rFonts w:ascii="Montserrat" w:hAnsi="Montserrat"/>
          <w:b/>
          <w:sz w:val="20"/>
          <w:szCs w:val="20"/>
        </w:rPr>
      </w:pPr>
    </w:p>
    <w:p w14:paraId="2A4226F8" w14:textId="77777777" w:rsidR="00F75F82" w:rsidRPr="00DB4297" w:rsidRDefault="00F75F82">
      <w:pPr>
        <w:rPr>
          <w:rFonts w:ascii="Montserrat" w:hAnsi="Montserrat"/>
          <w:b/>
          <w:sz w:val="20"/>
          <w:szCs w:val="20"/>
          <w:u w:val="single"/>
        </w:rPr>
      </w:pPr>
      <w:r w:rsidRPr="00DB4297">
        <w:rPr>
          <w:rFonts w:ascii="Montserrat" w:hAnsi="Montserrat"/>
          <w:b/>
          <w:sz w:val="20"/>
          <w:szCs w:val="20"/>
          <w:u w:val="single"/>
        </w:rPr>
        <w:t>Mecanismo de monitoreo y supervisión</w:t>
      </w:r>
    </w:p>
    <w:p w14:paraId="46DDC5CB" w14:textId="3EB35C13" w:rsidR="00F75F82" w:rsidRPr="00DB4297" w:rsidRDefault="00990060" w:rsidP="00F75F82">
      <w:pPr>
        <w:jc w:val="both"/>
        <w:rPr>
          <w:rFonts w:ascii="Montserrat" w:hAnsi="Montserrat"/>
          <w:sz w:val="20"/>
          <w:szCs w:val="20"/>
        </w:rPr>
      </w:pPr>
      <w:r w:rsidRPr="00DB4297">
        <w:rPr>
          <w:rFonts w:ascii="Montserrat" w:hAnsi="Montserrat"/>
          <w:sz w:val="20"/>
          <w:szCs w:val="20"/>
        </w:rPr>
        <w:t xml:space="preserve">Con </w:t>
      </w:r>
      <w:r w:rsidR="00F75F82" w:rsidRPr="00DB4297">
        <w:rPr>
          <w:rFonts w:ascii="Montserrat" w:hAnsi="Montserrat"/>
          <w:sz w:val="20"/>
          <w:szCs w:val="20"/>
        </w:rPr>
        <w:t>fundamento en el artículo 30, fracción V</w:t>
      </w:r>
      <w:r w:rsidR="00971085">
        <w:rPr>
          <w:rFonts w:ascii="Montserrat" w:hAnsi="Montserrat"/>
          <w:sz w:val="20"/>
          <w:szCs w:val="20"/>
        </w:rPr>
        <w:t xml:space="preserve"> y 84, fracción V </w:t>
      </w:r>
      <w:r w:rsidR="00F75F82" w:rsidRPr="00DB4297">
        <w:rPr>
          <w:rFonts w:ascii="Montserrat" w:hAnsi="Montserrat"/>
          <w:sz w:val="20"/>
          <w:szCs w:val="20"/>
        </w:rPr>
        <w:t xml:space="preserve">de la </w:t>
      </w:r>
      <w:r w:rsidR="00F75F82" w:rsidRPr="00DB4297">
        <w:rPr>
          <w:rFonts w:ascii="Montserrat" w:hAnsi="Montserrat"/>
          <w:i/>
          <w:sz w:val="20"/>
          <w:szCs w:val="20"/>
        </w:rPr>
        <w:t>Ley General de Protección de Datos Personales en Posesión de Sujetos Obligados</w:t>
      </w:r>
      <w:r w:rsidR="00F75F82" w:rsidRPr="00DB4297">
        <w:rPr>
          <w:rFonts w:ascii="Montserrat" w:hAnsi="Montserrat"/>
          <w:sz w:val="20"/>
          <w:szCs w:val="20"/>
        </w:rPr>
        <w:t xml:space="preserve">, </w:t>
      </w:r>
      <w:r w:rsidRPr="00DB4297">
        <w:rPr>
          <w:rFonts w:ascii="Montserrat" w:hAnsi="Montserrat"/>
          <w:sz w:val="20"/>
          <w:szCs w:val="20"/>
        </w:rPr>
        <w:t xml:space="preserve">que </w:t>
      </w:r>
      <w:r w:rsidR="00F75F82" w:rsidRPr="00DB4297">
        <w:rPr>
          <w:rFonts w:ascii="Montserrat" w:hAnsi="Montserrat"/>
          <w:sz w:val="20"/>
          <w:szCs w:val="20"/>
        </w:rPr>
        <w:t>establece que entre los mecanismos que se deberán adoptar para cumplir con el principio de responsabilidad, se encuentra el de establecer un sistema de supervisión y vigilancia, incluyendo auditorías, que permita comprobar el cumplimiento de las políticas de prot</w:t>
      </w:r>
      <w:r w:rsidR="007B736C" w:rsidRPr="00DB4297">
        <w:rPr>
          <w:rFonts w:ascii="Montserrat" w:hAnsi="Montserrat"/>
          <w:sz w:val="20"/>
          <w:szCs w:val="20"/>
        </w:rPr>
        <w:t>ección de datos personales;</w:t>
      </w:r>
      <w:r w:rsidRPr="00DB4297">
        <w:rPr>
          <w:rFonts w:ascii="Montserrat" w:hAnsi="Montserrat"/>
          <w:sz w:val="20"/>
          <w:szCs w:val="20"/>
        </w:rPr>
        <w:t xml:space="preserve"> por l</w:t>
      </w:r>
      <w:r w:rsidR="00E12A8B" w:rsidRPr="00DB4297">
        <w:rPr>
          <w:rFonts w:ascii="Montserrat" w:hAnsi="Montserrat"/>
          <w:sz w:val="20"/>
          <w:szCs w:val="20"/>
        </w:rPr>
        <w:t>o que el Comité de Transparencia</w:t>
      </w:r>
      <w:r w:rsidR="007B736C" w:rsidRPr="00DB4297">
        <w:rPr>
          <w:rFonts w:ascii="Montserrat" w:hAnsi="Montserrat"/>
          <w:sz w:val="20"/>
          <w:szCs w:val="20"/>
        </w:rPr>
        <w:t xml:space="preserve"> </w:t>
      </w:r>
      <w:r w:rsidR="00E12A8B" w:rsidRPr="00DB4297">
        <w:rPr>
          <w:rFonts w:ascii="Montserrat" w:hAnsi="Montserrat"/>
          <w:sz w:val="20"/>
          <w:szCs w:val="20"/>
        </w:rPr>
        <w:t xml:space="preserve">será </w:t>
      </w:r>
      <w:r w:rsidR="005574A6">
        <w:rPr>
          <w:rFonts w:ascii="Montserrat" w:hAnsi="Montserrat"/>
          <w:sz w:val="20"/>
          <w:szCs w:val="20"/>
        </w:rPr>
        <w:t>el</w:t>
      </w:r>
      <w:r w:rsidR="00E12A8B" w:rsidRPr="00DB4297">
        <w:rPr>
          <w:rFonts w:ascii="Montserrat" w:hAnsi="Montserrat"/>
          <w:sz w:val="20"/>
          <w:szCs w:val="20"/>
        </w:rPr>
        <w:t xml:space="preserve"> encargado</w:t>
      </w:r>
      <w:r w:rsidR="00225FB9" w:rsidRPr="00DB4297">
        <w:rPr>
          <w:rFonts w:ascii="Montserrat" w:hAnsi="Montserrat"/>
          <w:sz w:val="20"/>
          <w:szCs w:val="20"/>
        </w:rPr>
        <w:t xml:space="preserve"> de ejecutar el mecanismo de monitoreo y supervisión de las medidas de seguridad implementadas en la protección de datos personales, a través de los siguientes ejes: </w:t>
      </w:r>
    </w:p>
    <w:p w14:paraId="44F9E472" w14:textId="77777777" w:rsidR="002C5263" w:rsidRPr="00DB4297" w:rsidRDefault="002C5263" w:rsidP="002C5263">
      <w:pPr>
        <w:spacing w:after="0"/>
        <w:jc w:val="both"/>
        <w:rPr>
          <w:rFonts w:ascii="Montserrat" w:hAnsi="Montserrat" w:cs="Arial"/>
          <w:sz w:val="20"/>
          <w:szCs w:val="20"/>
        </w:rPr>
      </w:pPr>
    </w:p>
    <w:p w14:paraId="41BDD23D" w14:textId="77777777" w:rsidR="002C5263" w:rsidRPr="00DB4297" w:rsidRDefault="002C5263" w:rsidP="002C5263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4297">
        <w:rPr>
          <w:rFonts w:ascii="Montserrat" w:hAnsi="Montserrat" w:cs="Arial"/>
          <w:b/>
          <w:bCs/>
          <w:sz w:val="20"/>
          <w:szCs w:val="20"/>
        </w:rPr>
        <w:t>Etapa de Monitoreo</w:t>
      </w:r>
      <w:r w:rsidRPr="00DB4297">
        <w:rPr>
          <w:rFonts w:ascii="Montserrat" w:hAnsi="Montserrat" w:cs="Arial"/>
          <w:sz w:val="20"/>
          <w:szCs w:val="20"/>
        </w:rPr>
        <w:t xml:space="preserve">. </w:t>
      </w:r>
      <w:r w:rsidR="00E12A8B" w:rsidRPr="00DB4297">
        <w:rPr>
          <w:rFonts w:ascii="Montserrat" w:hAnsi="Montserrat" w:cs="Arial"/>
          <w:sz w:val="20"/>
          <w:szCs w:val="20"/>
        </w:rPr>
        <w:t>El AIFA,</w:t>
      </w:r>
      <w:r w:rsidR="00EB2B2D" w:rsidRPr="00DB4297">
        <w:rPr>
          <w:rFonts w:ascii="Montserrat" w:hAnsi="Montserrat" w:cs="Arial"/>
          <w:sz w:val="20"/>
          <w:szCs w:val="20"/>
        </w:rPr>
        <w:t xml:space="preserve"> a través del Comité de Transparencia </w:t>
      </w:r>
      <w:r w:rsidRPr="00DB4297">
        <w:rPr>
          <w:rFonts w:ascii="Montserrat" w:hAnsi="Montserrat" w:cs="Arial"/>
          <w:sz w:val="20"/>
          <w:szCs w:val="20"/>
        </w:rPr>
        <w:t>requerirá a cada una de las áreas que reportaron t</w:t>
      </w:r>
      <w:r w:rsidR="00E12A8B" w:rsidRPr="00DB4297">
        <w:rPr>
          <w:rFonts w:ascii="Montserrat" w:hAnsi="Montserrat" w:cs="Arial"/>
          <w:sz w:val="20"/>
          <w:szCs w:val="20"/>
        </w:rPr>
        <w:t>ratamientos de datos personales</w:t>
      </w:r>
      <w:r w:rsidRPr="00DB4297">
        <w:rPr>
          <w:rFonts w:ascii="Montserrat" w:hAnsi="Montserrat" w:cs="Arial"/>
          <w:sz w:val="20"/>
          <w:szCs w:val="20"/>
        </w:rPr>
        <w:t xml:space="preserve"> la elaboración de un reporte</w:t>
      </w:r>
      <w:r w:rsidR="00F724EB" w:rsidRPr="00DB4297">
        <w:rPr>
          <w:rFonts w:ascii="Montserrat" w:hAnsi="Montserrat" w:cs="Arial"/>
          <w:sz w:val="20"/>
          <w:szCs w:val="20"/>
        </w:rPr>
        <w:t>, en el que deberán precisar</w:t>
      </w:r>
      <w:r w:rsidRPr="00DB4297">
        <w:rPr>
          <w:rFonts w:ascii="Montserrat" w:hAnsi="Montserrat" w:cs="Arial"/>
          <w:sz w:val="20"/>
          <w:szCs w:val="20"/>
        </w:rPr>
        <w:t>:</w:t>
      </w:r>
    </w:p>
    <w:p w14:paraId="2A374C6C" w14:textId="77777777" w:rsidR="002C5263" w:rsidRPr="00DB4297" w:rsidRDefault="002C5263" w:rsidP="002C5263">
      <w:pPr>
        <w:spacing w:after="0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clara1"/>
        <w:tblW w:w="5000" w:type="pct"/>
        <w:jc w:val="center"/>
        <w:tblLook w:val="04A0" w:firstRow="1" w:lastRow="0" w:firstColumn="1" w:lastColumn="0" w:noHBand="0" w:noVBand="1"/>
      </w:tblPr>
      <w:tblGrid>
        <w:gridCol w:w="7554"/>
        <w:gridCol w:w="750"/>
        <w:gridCol w:w="750"/>
      </w:tblGrid>
      <w:tr w:rsidR="002C5263" w:rsidRPr="00DB4297" w14:paraId="5C7FB98B" w14:textId="77777777" w:rsidTr="002C5263">
        <w:trPr>
          <w:jc w:val="center"/>
        </w:trPr>
        <w:tc>
          <w:tcPr>
            <w:tcW w:w="4172" w:type="pct"/>
            <w:tcBorders>
              <w:top w:val="nil"/>
              <w:left w:val="nil"/>
            </w:tcBorders>
          </w:tcPr>
          <w:p w14:paraId="267B920B" w14:textId="77777777" w:rsidR="002C5263" w:rsidRPr="00DB4297" w:rsidRDefault="002C5263" w:rsidP="00EC0185">
            <w:pPr>
              <w:tabs>
                <w:tab w:val="left" w:pos="5872"/>
              </w:tabs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DB4297">
              <w:rPr>
                <w:rFonts w:ascii="Montserrat" w:hAnsi="Montserrat" w:cs="Arial"/>
                <w:b/>
                <w:sz w:val="20"/>
                <w:szCs w:val="20"/>
              </w:rPr>
              <w:tab/>
            </w:r>
          </w:p>
        </w:tc>
        <w:tc>
          <w:tcPr>
            <w:tcW w:w="414" w:type="pct"/>
            <w:shd w:val="clear" w:color="auto" w:fill="CCCCFF"/>
          </w:tcPr>
          <w:p w14:paraId="6D9E7C6C" w14:textId="77777777" w:rsidR="002C5263" w:rsidRPr="00DB4297" w:rsidRDefault="002C5263" w:rsidP="00EC0185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B4297">
              <w:rPr>
                <w:rFonts w:ascii="Montserrat" w:hAnsi="Montserrat" w:cs="Arial"/>
                <w:b/>
                <w:sz w:val="20"/>
                <w:szCs w:val="20"/>
              </w:rPr>
              <w:t xml:space="preserve">Sí </w:t>
            </w:r>
          </w:p>
        </w:tc>
        <w:tc>
          <w:tcPr>
            <w:tcW w:w="414" w:type="pct"/>
            <w:shd w:val="clear" w:color="auto" w:fill="CCCCFF"/>
          </w:tcPr>
          <w:p w14:paraId="74181F8F" w14:textId="77777777" w:rsidR="002C5263" w:rsidRPr="00DB4297" w:rsidRDefault="002C5263" w:rsidP="00EC0185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B4297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</w:tr>
      <w:tr w:rsidR="002C5263" w:rsidRPr="00DB4297" w14:paraId="4EE52A11" w14:textId="77777777" w:rsidTr="002C5263">
        <w:trPr>
          <w:jc w:val="center"/>
        </w:trPr>
        <w:tc>
          <w:tcPr>
            <w:tcW w:w="4172" w:type="pct"/>
          </w:tcPr>
          <w:p w14:paraId="2AFDE86F" w14:textId="797B7539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1. Se han definido</w:t>
            </w:r>
            <w:r w:rsidR="00DB4297">
              <w:rPr>
                <w:rFonts w:ascii="Montserrat" w:hAnsi="Montserrat" w:cs="Arial"/>
                <w:sz w:val="18"/>
                <w:szCs w:val="18"/>
              </w:rPr>
              <w:t xml:space="preserve">, </w:t>
            </w:r>
            <w:r w:rsidRPr="00DB4297">
              <w:rPr>
                <w:rFonts w:ascii="Montserrat" w:hAnsi="Montserrat" w:cs="Arial"/>
                <w:sz w:val="18"/>
                <w:szCs w:val="18"/>
              </w:rPr>
              <w:t>se establecen y mantienen las medidas de seguridad administrativas, técnicas y físicas necesarias para la protección de los datos personales.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-150789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69CAA31E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-10020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1DE0A9F7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1B154C3C" w14:textId="77777777" w:rsidTr="002C5263">
        <w:trPr>
          <w:jc w:val="center"/>
        </w:trPr>
        <w:tc>
          <w:tcPr>
            <w:tcW w:w="4172" w:type="pct"/>
          </w:tcPr>
          <w:p w14:paraId="488BB700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2. Se ha revisado el marco normativo que regula en lo particular el tratamiento de datos personales en cuestión, a fin de identificar si éste contempla medidas de </w:t>
            </w:r>
            <w:r w:rsidR="00A34447" w:rsidRPr="00DB4297">
              <w:rPr>
                <w:rFonts w:ascii="Montserrat" w:hAnsi="Montserrat" w:cs="Arial"/>
                <w:sz w:val="18"/>
                <w:szCs w:val="18"/>
              </w:rPr>
              <w:t>seguridad específica o adicional</w:t>
            </w: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 a las previstas en la LGPDPPSO y los Lineamientos Generales, y se ha definido la procedencia de su implementación. 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-7235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32F85943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83164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7C852625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307D4A5B" w14:textId="77777777" w:rsidTr="002C5263">
        <w:trPr>
          <w:jc w:val="center"/>
        </w:trPr>
        <w:tc>
          <w:tcPr>
            <w:tcW w:w="4172" w:type="pct"/>
          </w:tcPr>
          <w:p w14:paraId="1B1A57C4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3. Se han definido las funciones, obligaciones y cadena de mando de cada servidor público que trata datos personales, por unidad administrativa.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214330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5CA5B5FF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187819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5C43CF87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1683AF63" w14:textId="77777777" w:rsidTr="002C5263">
        <w:trPr>
          <w:jc w:val="center"/>
        </w:trPr>
        <w:tc>
          <w:tcPr>
            <w:tcW w:w="4172" w:type="pct"/>
          </w:tcPr>
          <w:p w14:paraId="519A5681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4. Se ha comunicado a cada servidor público sus funciones, obligaciones y cadena de mando con relación al tratamiento de datos personales que efectúa. 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-197018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28F57DB6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10114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6CE489B4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53BE63F3" w14:textId="77777777" w:rsidTr="002C5263">
        <w:trPr>
          <w:jc w:val="center"/>
        </w:trPr>
        <w:tc>
          <w:tcPr>
            <w:tcW w:w="4172" w:type="pct"/>
          </w:tcPr>
          <w:p w14:paraId="54EC1925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5. Se ha elaborado el inventario de datos personales con los siguientes elementos: </w:t>
            </w:r>
          </w:p>
          <w:p w14:paraId="008D726B" w14:textId="77777777" w:rsidR="002C5263" w:rsidRPr="00DB4297" w:rsidRDefault="002C5263" w:rsidP="00EC01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El catálogo de medios físicos y electrónicos a través de los cuales se obtienen los datos personales;</w:t>
            </w:r>
          </w:p>
          <w:p w14:paraId="4D6B1B68" w14:textId="77777777" w:rsidR="002C5263" w:rsidRPr="00DB4297" w:rsidRDefault="002C5263" w:rsidP="00EC01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Las finalidades de cada tratamiento de datos personales;</w:t>
            </w:r>
          </w:p>
          <w:p w14:paraId="210748E4" w14:textId="77777777" w:rsidR="002C5263" w:rsidRPr="00DB4297" w:rsidRDefault="002C5263" w:rsidP="00EC01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El catálogo de los tipos de datos personales que se tra</w:t>
            </w:r>
            <w:r w:rsidR="00BF3180" w:rsidRPr="00DB4297">
              <w:rPr>
                <w:rFonts w:ascii="Montserrat" w:hAnsi="Montserrat" w:cs="Arial"/>
                <w:bCs/>
                <w:sz w:val="18"/>
                <w:szCs w:val="18"/>
              </w:rPr>
              <w:t xml:space="preserve">ten, indicando si son sensibles </w:t>
            </w: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o no;</w:t>
            </w:r>
          </w:p>
          <w:p w14:paraId="2F84052E" w14:textId="75879C2E" w:rsidR="002C5263" w:rsidRPr="00DB4297" w:rsidRDefault="002C5263" w:rsidP="00EC01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 xml:space="preserve">El catálogo de formatos de almacenamiento, así como la descripción general de la ubicación física y/o electrónica de los datos personales; </w:t>
            </w:r>
          </w:p>
          <w:p w14:paraId="6E7F8F43" w14:textId="77777777" w:rsidR="00DB4297" w:rsidRPr="00DB4297" w:rsidRDefault="00DB4297" w:rsidP="00DB4297">
            <w:pPr>
              <w:pStyle w:val="Prrafodelista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76C791F2" w14:textId="77777777" w:rsidR="002C5263" w:rsidRPr="00DB4297" w:rsidRDefault="002C5263" w:rsidP="00EC01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La lista de servidores públicos que tienen acceso a los sistemas de tratamiento;</w:t>
            </w:r>
          </w:p>
          <w:p w14:paraId="6136E1C1" w14:textId="77777777" w:rsidR="007F04A9" w:rsidRPr="00DB4297" w:rsidRDefault="002C5263" w:rsidP="00BF31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En su caso, el nombre completo o denominación o razón social del encargado y el instrumento jurídico que formaliza la prestación de los servicios que brinda al responsable, y</w:t>
            </w:r>
          </w:p>
          <w:p w14:paraId="117F983C" w14:textId="77777777" w:rsidR="007B736C" w:rsidRPr="00DB4297" w:rsidRDefault="002C5263" w:rsidP="00E5626B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En su caso, los destinatarios o terceros receptores de las transferencias que se efectúen, así como las finalidades que las justifican.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-20070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66FFF795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169873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04C9FB67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1482328C" w14:textId="77777777" w:rsidTr="002C5263">
        <w:trPr>
          <w:jc w:val="center"/>
        </w:trPr>
        <w:tc>
          <w:tcPr>
            <w:tcW w:w="4172" w:type="pct"/>
          </w:tcPr>
          <w:p w14:paraId="7F763DF0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6. En el inventario de datos personales se tomó en cuenta el ciclo de vida de los datos personales, conforme a lo siguiente: </w:t>
            </w:r>
          </w:p>
          <w:p w14:paraId="76330DA8" w14:textId="77777777" w:rsidR="002C5263" w:rsidRPr="00DB4297" w:rsidRDefault="002C5263" w:rsidP="00EC0185">
            <w:pPr>
              <w:numPr>
                <w:ilvl w:val="0"/>
                <w:numId w:val="3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El uso de los datos personales conforme a su acceso, manejo, aprovechamiento, monitoreo y procesamiento, incluyendo los sistemas físicos y/o electrónicos utilizados para tal fin;</w:t>
            </w:r>
          </w:p>
          <w:p w14:paraId="1F9FCE69" w14:textId="77777777" w:rsidR="002C5263" w:rsidRPr="00DB4297" w:rsidRDefault="002C5263" w:rsidP="00EC0185">
            <w:pPr>
              <w:numPr>
                <w:ilvl w:val="0"/>
                <w:numId w:val="3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La divulgación de los datos personales considerando las remisiones y transferencias que, en su caso, se efectúen;</w:t>
            </w:r>
          </w:p>
          <w:p w14:paraId="50BE46AB" w14:textId="77777777" w:rsidR="002C5263" w:rsidRPr="00DB4297" w:rsidRDefault="002C5263" w:rsidP="00EC0185">
            <w:pPr>
              <w:numPr>
                <w:ilvl w:val="0"/>
                <w:numId w:val="3"/>
              </w:num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bCs/>
                <w:sz w:val="18"/>
                <w:szCs w:val="18"/>
              </w:rPr>
              <w:t>La cancelación, supresión o destrucción de los datos personales.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127505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2EA9F4A0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12737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491A642F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1F786D6F" w14:textId="77777777" w:rsidTr="002C5263">
        <w:trPr>
          <w:jc w:val="center"/>
        </w:trPr>
        <w:tc>
          <w:tcPr>
            <w:tcW w:w="4172" w:type="pct"/>
          </w:tcPr>
          <w:p w14:paraId="61D9E5AC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7. Se ha realizado el análisis de riesgo, considerando lo siguiente: </w:t>
            </w:r>
          </w:p>
          <w:p w14:paraId="7F4CD5E4" w14:textId="77777777" w:rsidR="002C5263" w:rsidRPr="00DB4297" w:rsidRDefault="002C5263" w:rsidP="00EC01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La sensibilidad de los datos personales tratados;</w:t>
            </w:r>
          </w:p>
          <w:p w14:paraId="41B686EF" w14:textId="77777777" w:rsidR="002C5263" w:rsidRPr="00DB4297" w:rsidRDefault="002C5263" w:rsidP="00EC01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El desarrollo tecnológico;</w:t>
            </w:r>
          </w:p>
          <w:p w14:paraId="12636973" w14:textId="77777777" w:rsidR="002C5263" w:rsidRPr="00DB4297" w:rsidRDefault="002C5263" w:rsidP="00EC01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Las transferencias de datos personales que se realicen;</w:t>
            </w:r>
          </w:p>
          <w:p w14:paraId="0AD12677" w14:textId="77777777" w:rsidR="002C5263" w:rsidRPr="00DB4297" w:rsidRDefault="002C5263" w:rsidP="002C52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El número de titulares; y</w:t>
            </w:r>
          </w:p>
          <w:p w14:paraId="14BD53DD" w14:textId="77777777" w:rsidR="002C5263" w:rsidRPr="00DB4297" w:rsidRDefault="002C5263" w:rsidP="00EC01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El riesgo por el valor potencial cuantitativo o cualitativo que pudieran tener los datos personales tratados para una tercera persona no autorizada para su posesión.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-16339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3E46F457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-636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43188A24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5263" w:rsidRPr="00DB4297" w14:paraId="247273D8" w14:textId="77777777" w:rsidTr="002C5263">
        <w:trPr>
          <w:jc w:val="center"/>
        </w:trPr>
        <w:tc>
          <w:tcPr>
            <w:tcW w:w="4172" w:type="pct"/>
          </w:tcPr>
          <w:p w14:paraId="6A0AF371" w14:textId="77777777" w:rsidR="002C5263" w:rsidRPr="00DB4297" w:rsidRDefault="002C5263" w:rsidP="00EC018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8. Se ha realizado el análisis de brecha, tomando en cuenta lo siguiente: </w:t>
            </w:r>
          </w:p>
          <w:p w14:paraId="412A3820" w14:textId="77777777" w:rsidR="002C5263" w:rsidRPr="00DB4297" w:rsidRDefault="002C5263" w:rsidP="00EC018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Las medidas de seguridad existentes y efectivas; </w:t>
            </w:r>
          </w:p>
          <w:p w14:paraId="0BB80A0E" w14:textId="77777777" w:rsidR="002C5263" w:rsidRPr="00DB4297" w:rsidRDefault="002C5263" w:rsidP="00EC018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 xml:space="preserve">Las medidas de seguridad faltantes, y </w:t>
            </w:r>
          </w:p>
          <w:p w14:paraId="2E667A2D" w14:textId="77777777" w:rsidR="002C5263" w:rsidRPr="00DB4297" w:rsidRDefault="002C5263" w:rsidP="00EC018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4297">
              <w:rPr>
                <w:rFonts w:ascii="Montserrat" w:hAnsi="Montserrat" w:cs="Arial"/>
                <w:sz w:val="18"/>
                <w:szCs w:val="18"/>
              </w:rPr>
              <w:t>La existencia de nuevas medidas de seguridad que pudieran remplazar a uno o más controles implementados actualmente.</w:t>
            </w:r>
          </w:p>
        </w:tc>
        <w:sdt>
          <w:sdtPr>
            <w:rPr>
              <w:rFonts w:ascii="Montserrat" w:hAnsi="Montserrat" w:cs="Arial"/>
              <w:b/>
              <w:sz w:val="20"/>
              <w:szCs w:val="20"/>
            </w:rPr>
            <w:id w:val="59899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2C69E7F1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  <w:szCs w:val="20"/>
            </w:rPr>
            <w:id w:val="-41571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14:paraId="75F3C8FC" w14:textId="77777777" w:rsidR="002C5263" w:rsidRPr="00DB4297" w:rsidRDefault="002C5263" w:rsidP="00EC0185">
                <w:pPr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DB42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D2E887" w14:textId="77777777" w:rsidR="002C5263" w:rsidRPr="00DB4297" w:rsidRDefault="002C5263">
      <w:pPr>
        <w:rPr>
          <w:rFonts w:ascii="Montserrat" w:hAnsi="Montserrat"/>
          <w:b/>
          <w:sz w:val="20"/>
          <w:szCs w:val="20"/>
          <w:u w:val="single"/>
        </w:rPr>
      </w:pPr>
    </w:p>
    <w:p w14:paraId="172F72B0" w14:textId="77777777" w:rsidR="00D90134" w:rsidRPr="00DB4297" w:rsidRDefault="00D90134" w:rsidP="00D90134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4297">
        <w:rPr>
          <w:rFonts w:ascii="Montserrat" w:hAnsi="Montserrat" w:cs="Arial"/>
          <w:b/>
          <w:bCs/>
          <w:sz w:val="20"/>
          <w:szCs w:val="20"/>
        </w:rPr>
        <w:t xml:space="preserve">Etapa de Supervisión.  </w:t>
      </w:r>
      <w:r w:rsidR="00C278A2" w:rsidRPr="00DB4297">
        <w:rPr>
          <w:rFonts w:ascii="Montserrat" w:hAnsi="Montserrat" w:cs="Arial"/>
          <w:sz w:val="20"/>
          <w:szCs w:val="20"/>
        </w:rPr>
        <w:t xml:space="preserve">El Comité de Transparencia </w:t>
      </w:r>
      <w:r w:rsidRPr="00DB4297">
        <w:rPr>
          <w:rFonts w:ascii="Montserrat" w:hAnsi="Montserrat" w:cs="Arial"/>
          <w:sz w:val="20"/>
          <w:szCs w:val="20"/>
        </w:rPr>
        <w:t xml:space="preserve">analizará los reportes de las áreas, verificando aquellos puntos en los que se hubiera reportado “No” como respuesta y se emitirá un dictamen o ficha técnica en el que se plasmarán las recomendaciones o requerimientos que se consideren pertinentes en materia de seguridad, con la finalidad de que las áreas las atiendan y remitan las evidencias de su cumplimiento. </w:t>
      </w:r>
    </w:p>
    <w:p w14:paraId="124F9625" w14:textId="77777777" w:rsidR="00D90134" w:rsidRPr="00DB4297" w:rsidRDefault="00D90134">
      <w:pPr>
        <w:rPr>
          <w:rFonts w:ascii="Montserrat" w:hAnsi="Montserrat"/>
          <w:b/>
          <w:sz w:val="20"/>
          <w:szCs w:val="20"/>
          <w:u w:val="single"/>
        </w:rPr>
      </w:pPr>
    </w:p>
    <w:p w14:paraId="123FB281" w14:textId="77777777" w:rsidR="00F75F82" w:rsidRPr="00DB4297" w:rsidRDefault="00F75F82">
      <w:pPr>
        <w:rPr>
          <w:rFonts w:ascii="Montserrat" w:hAnsi="Montserrat"/>
          <w:b/>
          <w:sz w:val="20"/>
          <w:szCs w:val="20"/>
          <w:u w:val="single"/>
        </w:rPr>
      </w:pPr>
    </w:p>
    <w:p w14:paraId="30AFC705" w14:textId="77777777" w:rsidR="00F75F82" w:rsidRPr="00DB4297" w:rsidRDefault="00F75F82">
      <w:pPr>
        <w:rPr>
          <w:rFonts w:ascii="Montserrat" w:hAnsi="Montserrat"/>
          <w:sz w:val="20"/>
          <w:szCs w:val="20"/>
        </w:rPr>
      </w:pPr>
    </w:p>
    <w:sectPr w:rsidR="00F75F82" w:rsidRPr="00DB42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7EF9" w14:textId="77777777" w:rsidR="008B1AF2" w:rsidRDefault="008B1AF2" w:rsidP="007B736C">
      <w:pPr>
        <w:spacing w:after="0" w:line="240" w:lineRule="auto"/>
      </w:pPr>
      <w:r>
        <w:separator/>
      </w:r>
    </w:p>
  </w:endnote>
  <w:endnote w:type="continuationSeparator" w:id="0">
    <w:p w14:paraId="6A9634BA" w14:textId="77777777" w:rsidR="008B1AF2" w:rsidRDefault="008B1AF2" w:rsidP="007B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E090" w14:textId="77777777" w:rsidR="008B1AF2" w:rsidRDefault="008B1AF2" w:rsidP="007B736C">
      <w:pPr>
        <w:spacing w:after="0" w:line="240" w:lineRule="auto"/>
      </w:pPr>
      <w:r>
        <w:separator/>
      </w:r>
    </w:p>
  </w:footnote>
  <w:footnote w:type="continuationSeparator" w:id="0">
    <w:p w14:paraId="71FC76BB" w14:textId="77777777" w:rsidR="008B1AF2" w:rsidRDefault="008B1AF2" w:rsidP="007B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845F" w14:textId="16C53071" w:rsidR="007B736C" w:rsidRDefault="003B11C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E029FB" wp14:editId="3F78E20F">
              <wp:simplePos x="0" y="0"/>
              <wp:positionH relativeFrom="column">
                <wp:posOffset>3219450</wp:posOffset>
              </wp:positionH>
              <wp:positionV relativeFrom="paragraph">
                <wp:posOffset>-124460</wp:posOffset>
              </wp:positionV>
              <wp:extent cx="3766782" cy="573206"/>
              <wp:effectExtent l="0" t="0" r="5715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6782" cy="57320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F862D" w14:textId="77777777" w:rsidR="003B11C1" w:rsidRDefault="003B11C1" w:rsidP="003B11C1">
                          <w:pPr>
                            <w:spacing w:after="0"/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8"/>
                            </w:rPr>
                          </w:pPr>
                          <w:r w:rsidRPr="000D1203">
                            <w:rPr>
                              <w:rFonts w:ascii="Montserrat" w:hAnsi="Montserrat" w:cs="Arial"/>
                              <w:b/>
                              <w:sz w:val="18"/>
                              <w:szCs w:val="18"/>
                            </w:rPr>
                            <w:t>“202</w:t>
                          </w:r>
                          <w:r>
                            <w:rPr>
                              <w:rFonts w:ascii="Montserrat" w:hAnsi="Montserrat" w:cs="Arial"/>
                              <w:b/>
                              <w:sz w:val="18"/>
                              <w:szCs w:val="18"/>
                            </w:rPr>
                            <w:t>2, Año de Ricardo Flores Magón,</w:t>
                          </w:r>
                        </w:p>
                        <w:p w14:paraId="573B3C25" w14:textId="2939EF25" w:rsidR="003B11C1" w:rsidRDefault="003B11C1" w:rsidP="003B11C1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sz w:val="18"/>
                              <w:szCs w:val="18"/>
                            </w:rPr>
                            <w:t xml:space="preserve">Precursor de la </w:t>
                          </w:r>
                          <w:r w:rsidR="00425D10">
                            <w:rPr>
                              <w:rFonts w:ascii="Montserrat" w:hAnsi="Montserrat" w:cs="Arial"/>
                              <w:b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ontserrat" w:hAnsi="Montserrat" w:cs="Arial"/>
                              <w:b/>
                              <w:sz w:val="18"/>
                              <w:szCs w:val="18"/>
                            </w:rPr>
                            <w:t>evolución Mexicana”</w:t>
                          </w:r>
                        </w:p>
                        <w:p w14:paraId="167F4271" w14:textId="77777777" w:rsidR="003B11C1" w:rsidRPr="004318BC" w:rsidRDefault="003B11C1" w:rsidP="003B11C1">
                          <w:pPr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</w:p>
                        <w:p w14:paraId="2B24AB37" w14:textId="77777777" w:rsidR="003B11C1" w:rsidRDefault="003B11C1" w:rsidP="003B11C1">
                          <w:pPr>
                            <w:pStyle w:val="Encabezado"/>
                          </w:pPr>
                        </w:p>
                        <w:p w14:paraId="38C91F5E" w14:textId="77777777" w:rsidR="003B11C1" w:rsidRDefault="003B11C1" w:rsidP="003B11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029FB" id="Rectángulo 24" o:spid="_x0000_s1026" style="position:absolute;margin-left:253.5pt;margin-top:-9.8pt;width:296.6pt;height:45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" fillcolor="white [3201]" stroked="f" strokeweight="2pt">
              <v:textbox>
                <w:txbxContent>
                  <w:p w14:paraId="412F862D" w14:textId="77777777" w:rsidR="003B11C1" w:rsidRDefault="003B11C1" w:rsidP="003B11C1">
                    <w:pPr>
                      <w:spacing w:after="0"/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8"/>
                      </w:rPr>
                    </w:pPr>
                    <w:r w:rsidRPr="000D1203">
                      <w:rPr>
                        <w:rFonts w:ascii="Montserrat" w:hAnsi="Montserrat" w:cs="Arial"/>
                        <w:b/>
                        <w:sz w:val="18"/>
                        <w:szCs w:val="18"/>
                      </w:rPr>
                      <w:t>“202</w:t>
                    </w:r>
                    <w:r>
                      <w:rPr>
                        <w:rFonts w:ascii="Montserrat" w:hAnsi="Montserrat" w:cs="Arial"/>
                        <w:b/>
                        <w:sz w:val="18"/>
                        <w:szCs w:val="18"/>
                      </w:rPr>
                      <w:t>2, Año de Ricardo Flores Magón,</w:t>
                    </w:r>
                  </w:p>
                  <w:p w14:paraId="573B3C25" w14:textId="2939EF25" w:rsidR="003B11C1" w:rsidRDefault="003B11C1" w:rsidP="003B11C1">
                    <w:pPr>
                      <w:spacing w:after="0"/>
                      <w:jc w:val="center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ascii="Montserrat" w:hAnsi="Montserrat" w:cs="Arial"/>
                        <w:b/>
                        <w:sz w:val="18"/>
                        <w:szCs w:val="18"/>
                      </w:rPr>
                      <w:t xml:space="preserve">Precursor de la </w:t>
                    </w:r>
                    <w:r w:rsidR="00425D10">
                      <w:rPr>
                        <w:rFonts w:ascii="Montserrat" w:hAnsi="Montserrat" w:cs="Arial"/>
                        <w:b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ontserrat" w:hAnsi="Montserrat" w:cs="Arial"/>
                        <w:b/>
                        <w:sz w:val="18"/>
                        <w:szCs w:val="18"/>
                      </w:rPr>
                      <w:t>evolución Mexicana”</w:t>
                    </w:r>
                  </w:p>
                  <w:p w14:paraId="167F4271" w14:textId="77777777" w:rsidR="003B11C1" w:rsidRPr="004318BC" w:rsidRDefault="003B11C1" w:rsidP="003B11C1">
                    <w:pPr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</w:p>
                  <w:p w14:paraId="2B24AB37" w14:textId="77777777" w:rsidR="003B11C1" w:rsidRDefault="003B11C1" w:rsidP="003B11C1">
                    <w:pPr>
                      <w:pStyle w:val="Encabezado"/>
                    </w:pPr>
                  </w:p>
                  <w:p w14:paraId="38C91F5E" w14:textId="77777777" w:rsidR="003B11C1" w:rsidRDefault="003B11C1" w:rsidP="003B11C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B736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3A7666" wp14:editId="5872A4F7">
          <wp:simplePos x="0" y="0"/>
          <wp:positionH relativeFrom="margin">
            <wp:posOffset>-424527</wp:posOffset>
          </wp:positionH>
          <wp:positionV relativeFrom="paragraph">
            <wp:posOffset>-216667</wp:posOffset>
          </wp:positionV>
          <wp:extent cx="1380226" cy="898592"/>
          <wp:effectExtent l="0" t="0" r="0" b="0"/>
          <wp:wrapNone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5" t="17176" r="12645" b="24193"/>
                  <a:stretch/>
                </pic:blipFill>
                <pic:spPr bwMode="auto">
                  <a:xfrm>
                    <a:off x="0" y="0"/>
                    <a:ext cx="1384038" cy="901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FFB36" w14:textId="77777777" w:rsidR="007B736C" w:rsidRDefault="007B73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498"/>
    <w:multiLevelType w:val="hybridMultilevel"/>
    <w:tmpl w:val="1B10990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69" w:hanging="360"/>
      </w:pPr>
    </w:lvl>
    <w:lvl w:ilvl="2" w:tplc="0C0A001B" w:tentative="1">
      <w:start w:val="1"/>
      <w:numFmt w:val="lowerRoman"/>
      <w:lvlText w:val="%3."/>
      <w:lvlJc w:val="right"/>
      <w:pPr>
        <w:ind w:left="2189" w:hanging="180"/>
      </w:pPr>
    </w:lvl>
    <w:lvl w:ilvl="3" w:tplc="0C0A000F" w:tentative="1">
      <w:start w:val="1"/>
      <w:numFmt w:val="decimal"/>
      <w:lvlText w:val="%4."/>
      <w:lvlJc w:val="left"/>
      <w:pPr>
        <w:ind w:left="2909" w:hanging="360"/>
      </w:pPr>
    </w:lvl>
    <w:lvl w:ilvl="4" w:tplc="0C0A0019" w:tentative="1">
      <w:start w:val="1"/>
      <w:numFmt w:val="lowerLetter"/>
      <w:lvlText w:val="%5."/>
      <w:lvlJc w:val="left"/>
      <w:pPr>
        <w:ind w:left="3629" w:hanging="360"/>
      </w:pPr>
    </w:lvl>
    <w:lvl w:ilvl="5" w:tplc="0C0A001B" w:tentative="1">
      <w:start w:val="1"/>
      <w:numFmt w:val="lowerRoman"/>
      <w:lvlText w:val="%6."/>
      <w:lvlJc w:val="right"/>
      <w:pPr>
        <w:ind w:left="4349" w:hanging="180"/>
      </w:pPr>
    </w:lvl>
    <w:lvl w:ilvl="6" w:tplc="0C0A000F" w:tentative="1">
      <w:start w:val="1"/>
      <w:numFmt w:val="decimal"/>
      <w:lvlText w:val="%7."/>
      <w:lvlJc w:val="left"/>
      <w:pPr>
        <w:ind w:left="5069" w:hanging="360"/>
      </w:pPr>
    </w:lvl>
    <w:lvl w:ilvl="7" w:tplc="0C0A0019" w:tentative="1">
      <w:start w:val="1"/>
      <w:numFmt w:val="lowerLetter"/>
      <w:lvlText w:val="%8."/>
      <w:lvlJc w:val="left"/>
      <w:pPr>
        <w:ind w:left="5789" w:hanging="360"/>
      </w:pPr>
    </w:lvl>
    <w:lvl w:ilvl="8" w:tplc="0C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2C0552F"/>
    <w:multiLevelType w:val="hybridMultilevel"/>
    <w:tmpl w:val="8A2A0B72"/>
    <w:lvl w:ilvl="0" w:tplc="4B80F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7ECCF4E">
      <w:start w:val="2"/>
      <w:numFmt w:val="bullet"/>
      <w:lvlText w:val="•"/>
      <w:lvlJc w:val="left"/>
      <w:pPr>
        <w:ind w:left="1440" w:hanging="360"/>
      </w:pPr>
      <w:rPr>
        <w:rFonts w:ascii="Arial Narrow" w:eastAsia="Batang" w:hAnsi="Arial Narrow" w:cs="Times New Roman" w:hint="default"/>
      </w:rPr>
    </w:lvl>
    <w:lvl w:ilvl="2" w:tplc="6BD8945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7AFE"/>
    <w:multiLevelType w:val="hybridMultilevel"/>
    <w:tmpl w:val="8E723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DE2"/>
    <w:multiLevelType w:val="hybridMultilevel"/>
    <w:tmpl w:val="8A2A0B72"/>
    <w:lvl w:ilvl="0" w:tplc="4B80F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7ECCF4E">
      <w:start w:val="2"/>
      <w:numFmt w:val="bullet"/>
      <w:lvlText w:val="•"/>
      <w:lvlJc w:val="left"/>
      <w:pPr>
        <w:ind w:left="1440" w:hanging="360"/>
      </w:pPr>
      <w:rPr>
        <w:rFonts w:ascii="Arial Narrow" w:eastAsia="Batang" w:hAnsi="Arial Narrow" w:cs="Times New Roman" w:hint="default"/>
      </w:rPr>
    </w:lvl>
    <w:lvl w:ilvl="2" w:tplc="6BD8945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92E52"/>
    <w:multiLevelType w:val="hybridMultilevel"/>
    <w:tmpl w:val="9C480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659FA"/>
    <w:multiLevelType w:val="hybridMultilevel"/>
    <w:tmpl w:val="1292B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91927">
    <w:abstractNumId w:val="3"/>
  </w:num>
  <w:num w:numId="2" w16cid:durableId="49036296">
    <w:abstractNumId w:val="4"/>
  </w:num>
  <w:num w:numId="3" w16cid:durableId="1885211847">
    <w:abstractNumId w:val="5"/>
  </w:num>
  <w:num w:numId="4" w16cid:durableId="159001598">
    <w:abstractNumId w:val="2"/>
  </w:num>
  <w:num w:numId="5" w16cid:durableId="553584335">
    <w:abstractNumId w:val="0"/>
  </w:num>
  <w:num w:numId="6" w16cid:durableId="206020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F82"/>
    <w:rsid w:val="000E24D4"/>
    <w:rsid w:val="00225FB9"/>
    <w:rsid w:val="002C5263"/>
    <w:rsid w:val="003474EE"/>
    <w:rsid w:val="00353086"/>
    <w:rsid w:val="00390C83"/>
    <w:rsid w:val="003B11C1"/>
    <w:rsid w:val="00425D10"/>
    <w:rsid w:val="005574A6"/>
    <w:rsid w:val="007B736C"/>
    <w:rsid w:val="007F04A9"/>
    <w:rsid w:val="008B1AF2"/>
    <w:rsid w:val="00971085"/>
    <w:rsid w:val="00990060"/>
    <w:rsid w:val="00A047FC"/>
    <w:rsid w:val="00A328E8"/>
    <w:rsid w:val="00A34447"/>
    <w:rsid w:val="00B80C23"/>
    <w:rsid w:val="00BA05DF"/>
    <w:rsid w:val="00BF3180"/>
    <w:rsid w:val="00C1196C"/>
    <w:rsid w:val="00C278A2"/>
    <w:rsid w:val="00D90134"/>
    <w:rsid w:val="00DB4297"/>
    <w:rsid w:val="00E12A8B"/>
    <w:rsid w:val="00E5626B"/>
    <w:rsid w:val="00EB2B2D"/>
    <w:rsid w:val="00EC0C57"/>
    <w:rsid w:val="00F724EB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8BD5"/>
  <w15:docId w15:val="{E1FA2E1D-9128-4C6B-8916-8B0032D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4 Párrafo de lista,Figuras,DH1,Listas,List Paragraph,Bullet List,列出段落"/>
    <w:basedOn w:val="Normal"/>
    <w:link w:val="PrrafodelistaCar"/>
    <w:uiPriority w:val="34"/>
    <w:qFormat/>
    <w:rsid w:val="002C5263"/>
    <w:pPr>
      <w:ind w:left="720"/>
      <w:contextualSpacing/>
    </w:pPr>
    <w:rPr>
      <w:rFonts w:eastAsiaTheme="minorEastAsia"/>
      <w:lang w:eastAsia="es-MX"/>
    </w:r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Figuras Car,DH1 Car"/>
    <w:link w:val="Prrafodelista"/>
    <w:uiPriority w:val="34"/>
    <w:qFormat/>
    <w:locked/>
    <w:rsid w:val="002C5263"/>
    <w:rPr>
      <w:rFonts w:eastAsiaTheme="minorEastAsia"/>
      <w:lang w:eastAsia="es-MX"/>
    </w:rPr>
  </w:style>
  <w:style w:type="table" w:customStyle="1" w:styleId="Tablaconcuadrculaclara1">
    <w:name w:val="Tabla con cuadrícula clara1"/>
    <w:basedOn w:val="Tablanormal"/>
    <w:uiPriority w:val="40"/>
    <w:rsid w:val="002C5263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6C"/>
  </w:style>
  <w:style w:type="paragraph" w:styleId="Piedepgina">
    <w:name w:val="footer"/>
    <w:basedOn w:val="Normal"/>
    <w:link w:val="PiedepginaCar"/>
    <w:uiPriority w:val="99"/>
    <w:unhideWhenUsed/>
    <w:rsid w:val="007B7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Transparencia  1</cp:lastModifiedBy>
  <cp:revision>4</cp:revision>
  <dcterms:created xsi:type="dcterms:W3CDTF">2022-09-08T16:32:00Z</dcterms:created>
  <dcterms:modified xsi:type="dcterms:W3CDTF">2022-09-30T17:13:00Z</dcterms:modified>
</cp:coreProperties>
</file>